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BC" w:rsidRPr="00CC635E" w:rsidRDefault="00CC635E">
      <w:pPr>
        <w:rPr>
          <w:rFonts w:ascii="Times New Roman" w:hAnsi="Times New Roman" w:cs="Times New Roman"/>
          <w:sz w:val="28"/>
          <w:lang w:val="uk-UA"/>
        </w:rPr>
      </w:pPr>
      <w:r w:rsidRPr="00CC635E">
        <w:rPr>
          <w:rFonts w:ascii="Times New Roman" w:hAnsi="Times New Roman" w:cs="Times New Roman"/>
          <w:sz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lang w:val="uk-UA"/>
        </w:rPr>
        <w:t xml:space="preserve"> виконання Закону України «Про освіту» ст.7 мова освітнього процесу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Волосянківській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Великоберезнянської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районної ради Закарпатської області – українська мова.</w:t>
      </w:r>
    </w:p>
    <w:sectPr w:rsidR="004E78BC" w:rsidRPr="00CC635E" w:rsidSect="004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635E"/>
    <w:rsid w:val="004E78BC"/>
    <w:rsid w:val="00CC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Computer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2017-12-27T11:10:00Z</dcterms:created>
  <dcterms:modified xsi:type="dcterms:W3CDTF">2017-12-27T11:15:00Z</dcterms:modified>
</cp:coreProperties>
</file>